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A" w:rsidRPr="008828EA" w:rsidRDefault="00B1567A" w:rsidP="00096CFB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Федеральный закон от 7 августа 2001года №115-ФЗ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2013года №302-ФЗ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 xml:space="preserve">Федеральный закон от 6 июля 2016года №374-ФЗ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2016года №375-ФЗ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установления уровней террористической опасности, предусматривающих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 xml:space="preserve">2014№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 xml:space="preserve">2015№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12.01.2007№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>и других опасных 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Федерацииот 29.08.2014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lastRenderedPageBreak/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27. </w:t>
      </w:r>
      <w:r w:rsidR="008828E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Федерц</w:t>
      </w:r>
      <w:r>
        <w:rPr>
          <w:rFonts w:ascii="Liberation Serif" w:hAnsi="Liberation Serif"/>
          <w:sz w:val="28"/>
          <w:szCs w:val="28"/>
        </w:rPr>
        <w:t xml:space="preserve">ии </w:t>
      </w:r>
      <w:r w:rsidR="008828EA" w:rsidRPr="008828EA">
        <w:rPr>
          <w:rFonts w:ascii="Liberation Serif" w:hAnsi="Liberation Serif"/>
          <w:sz w:val="28"/>
          <w:szCs w:val="28"/>
        </w:rPr>
        <w:t xml:space="preserve">от 13.01.2017 № 8 </w:t>
      </w:r>
      <w:r w:rsidR="008828EA" w:rsidRPr="008828EA">
        <w:rPr>
          <w:rFonts w:ascii="Liberation Serif" w:hAnsi="Liberation Serif"/>
          <w:sz w:val="28"/>
          <w:szCs w:val="28"/>
        </w:rPr>
        <w:lastRenderedPageBreak/>
        <w:t>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7"/>
      <w:headerReference w:type="default" r:id="rId8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F7" w:rsidRDefault="00075DF7">
      <w:r>
        <w:separator/>
      </w:r>
    </w:p>
  </w:endnote>
  <w:endnote w:type="continuationSeparator" w:id="1">
    <w:p w:rsidR="00075DF7" w:rsidRDefault="00075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F7" w:rsidRDefault="00075DF7">
      <w:r>
        <w:separator/>
      </w:r>
    </w:p>
  </w:footnote>
  <w:footnote w:type="continuationSeparator" w:id="1">
    <w:p w:rsidR="00075DF7" w:rsidRDefault="00075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Default="00EF6BF3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57EC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CA" w:rsidRPr="007B0ED4" w:rsidRDefault="00EF6BF3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="00772274"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2624C0">
      <w:rPr>
        <w:rFonts w:ascii="Liberation Serif" w:hAnsi="Liberation Serif"/>
        <w:noProof/>
        <w:sz w:val="28"/>
        <w:szCs w:val="28"/>
      </w:rPr>
      <w:t>2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5DF7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C0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2A98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40DC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A0442"/>
    <w:rsid w:val="00DA3065"/>
    <w:rsid w:val="00DB6ED0"/>
    <w:rsid w:val="00DC32EE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2B4D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6BF3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1</cp:lastModifiedBy>
  <cp:revision>3</cp:revision>
  <cp:lastPrinted>2019-04-10T03:31:00Z</cp:lastPrinted>
  <dcterms:created xsi:type="dcterms:W3CDTF">2019-04-10T03:34:00Z</dcterms:created>
  <dcterms:modified xsi:type="dcterms:W3CDTF">2019-04-10T03:36:00Z</dcterms:modified>
</cp:coreProperties>
</file>